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F" w:rsidRDefault="003C3686">
      <w:r>
        <w:t>AP Breadth section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Style w:val="Strong"/>
          <w:rFonts w:ascii="Times" w:hAnsi="Times" w:cs="Times"/>
          <w:color w:val="000000"/>
          <w:sz w:val="27"/>
          <w:szCs w:val="27"/>
          <w:bdr w:val="none" w:sz="0" w:space="0" w:color="auto" w:frame="1"/>
        </w:rPr>
        <w:t>Official Breadth Section Info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Style w:val="Strong"/>
          <w:rFonts w:ascii="Times" w:hAnsi="Times" w:cs="Times"/>
          <w:color w:val="4A4A49"/>
          <w:sz w:val="27"/>
          <w:szCs w:val="27"/>
          <w:bdr w:val="none" w:sz="0" w:space="0" w:color="auto" w:frame="1"/>
        </w:rPr>
        <w:t>Breadth Section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The student’s work in this section should show evidence of conceptual, perceptual, expressive, and technical range; thus, the student’s work should demonstrate a variety of drawing skills and approaches.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 </w:t>
      </w:r>
      <w:r>
        <w:rPr>
          <w:rStyle w:val="Strong"/>
          <w:rFonts w:ascii="Times" w:hAnsi="Times" w:cs="Times"/>
          <w:color w:val="4A4A49"/>
          <w:sz w:val="27"/>
          <w:szCs w:val="27"/>
          <w:bdr w:val="none" w:sz="0" w:space="0" w:color="auto" w:frame="1"/>
        </w:rPr>
        <w:t>Requirements:</w:t>
      </w:r>
      <w:r>
        <w:rPr>
          <w:rStyle w:val="apple-converted-space"/>
          <w:rFonts w:ascii="Times" w:hAnsi="Times" w:cs="Times"/>
          <w:color w:val="4A4A49"/>
          <w:sz w:val="27"/>
          <w:szCs w:val="27"/>
          <w:bdr w:val="none" w:sz="0" w:space="0" w:color="auto" w:frame="1"/>
        </w:rPr>
        <w:t> </w:t>
      </w:r>
      <w:r>
        <w:rPr>
          <w:rFonts w:ascii="Times" w:hAnsi="Times" w:cs="Times"/>
          <w:color w:val="4A4A49"/>
          <w:sz w:val="27"/>
          <w:szCs w:val="27"/>
          <w:bdr w:val="none" w:sz="0" w:space="0" w:color="auto" w:frame="1"/>
        </w:rPr>
        <w:t>For this section, students must submit a total of 12 digital images of 12 different works.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Style w:val="Strong"/>
          <w:rFonts w:ascii="Times" w:hAnsi="Times" w:cs="Times"/>
          <w:color w:val="4A4A49"/>
          <w:sz w:val="27"/>
          <w:szCs w:val="27"/>
          <w:bdr w:val="none" w:sz="0" w:space="0" w:color="auto" w:frame="1"/>
        </w:rPr>
        <w:t>Examples</w:t>
      </w:r>
      <w:r>
        <w:rPr>
          <w:rFonts w:ascii="Times" w:hAnsi="Times" w:cs="Times"/>
          <w:color w:val="4A4A49"/>
          <w:sz w:val="27"/>
          <w:szCs w:val="27"/>
          <w:bdr w:val="none" w:sz="0" w:space="0" w:color="auto" w:frame="1"/>
        </w:rPr>
        <w:t>: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• The use of various spatial systems, such as linear perspective, the illusion of three dimensional forms, aerial views, and other ways of creating and organizing space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• The use of various subjects, such as the human figure, landscape, and still-life objects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• The use of various kinds of content, such as that derived from observation,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an expressionistic viewpoint, imaginary or psychological imagery, social commentary, political statements; and other personal interests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• Arrangement of forms in a complex visual space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36"/>
          <w:szCs w:val="36"/>
          <w:bdr w:val="none" w:sz="0" w:space="0" w:color="auto" w:frame="1"/>
        </w:rPr>
        <w:t>• The use of different approaches to represent form and space, such as rendered, gestural, painterly, expressionist, stylized, or abstract form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Times" w:hAnsi="Times" w:cs="Times"/>
          <w:color w:val="4A4A49"/>
          <w:sz w:val="27"/>
          <w:szCs w:val="27"/>
          <w:bdr w:val="none" w:sz="0" w:space="0" w:color="auto" w:frame="1"/>
        </w:rPr>
        <w:t>• The investigation of expressive mark-making 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 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bookmarkStart w:id="0" w:name="_GoBack"/>
      <w:bookmarkEnd w:id="0"/>
      <w:r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  <w:lastRenderedPageBreak/>
        <w:t>AP® STUDIO ART</w:t>
      </w:r>
      <w:r>
        <w:rPr>
          <w:rStyle w:val="apple-converted-space"/>
          <w:rFonts w:ascii="inherit" w:hAnsi="inherit"/>
          <w:b/>
          <w:bCs/>
          <w:color w:val="4A4A49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4A4A49"/>
          <w:sz w:val="20"/>
          <w:szCs w:val="20"/>
        </w:rPr>
        <w:br/>
      </w:r>
      <w:r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  <w:t>2013 SCORING GUIDELINES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Drawing Breadth —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Works demonstrating understanding of a variety drawing issues. Look for engagement with</w:t>
      </w:r>
      <w:r>
        <w:rPr>
          <w:rFonts w:ascii="Verdana" w:hAnsi="Verdana"/>
          <w:color w:val="4A4A49"/>
          <w:sz w:val="20"/>
          <w:szCs w:val="20"/>
        </w:rPr>
        <w:br/>
        <w:t>a range of:</w:t>
      </w:r>
      <w:r>
        <w:rPr>
          <w:rFonts w:ascii="Verdana" w:hAnsi="Verdana"/>
          <w:color w:val="4A4A49"/>
          <w:sz w:val="20"/>
          <w:szCs w:val="20"/>
        </w:rPr>
        <w:br/>
        <w:t>Form Depth</w:t>
      </w:r>
      <w:r>
        <w:rPr>
          <w:rFonts w:ascii="Verdana" w:hAnsi="Verdana"/>
          <w:color w:val="4A4A49"/>
          <w:sz w:val="20"/>
          <w:szCs w:val="20"/>
        </w:rPr>
        <w:br/>
        <w:t>Content Pattern</w:t>
      </w:r>
      <w:r>
        <w:rPr>
          <w:rFonts w:ascii="Verdana" w:hAnsi="Verdana"/>
          <w:color w:val="4A4A49"/>
          <w:sz w:val="20"/>
          <w:szCs w:val="20"/>
        </w:rPr>
        <w:br/>
        <w:t>Tonal values Means of representation and</w:t>
      </w:r>
      <w:r>
        <w:rPr>
          <w:rFonts w:ascii="Verdana" w:hAnsi="Verdana"/>
          <w:color w:val="4A4A49"/>
          <w:sz w:val="20"/>
          <w:szCs w:val="20"/>
        </w:rPr>
        <w:br/>
        <w:t>Line quality abstraction</w:t>
      </w:r>
      <w:r>
        <w:rPr>
          <w:rFonts w:ascii="Verdana" w:hAnsi="Verdana"/>
          <w:color w:val="4A4A49"/>
          <w:sz w:val="20"/>
          <w:szCs w:val="20"/>
        </w:rPr>
        <w:br/>
        <w:t>Perspective and other spatial Materials</w:t>
      </w:r>
      <w:r>
        <w:rPr>
          <w:rFonts w:ascii="Verdana" w:hAnsi="Verdana"/>
          <w:color w:val="4A4A49"/>
          <w:sz w:val="20"/>
          <w:szCs w:val="20"/>
        </w:rPr>
        <w:br/>
        <w:t>systems Techniques</w:t>
      </w:r>
      <w:r>
        <w:rPr>
          <w:rFonts w:ascii="Verdana" w:hAnsi="Verdana"/>
          <w:color w:val="4A4A49"/>
          <w:sz w:val="20"/>
          <w:szCs w:val="20"/>
        </w:rPr>
        <w:br/>
        <w:t>Composition Styles</w:t>
      </w:r>
      <w:r>
        <w:rPr>
          <w:rFonts w:ascii="Verdana" w:hAnsi="Verdana"/>
          <w:color w:val="4A4A49"/>
          <w:sz w:val="20"/>
          <w:szCs w:val="20"/>
        </w:rPr>
        <w:br/>
        <w:t>Drawing surface and so on …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Key Scoring Descriptors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A. Investigation of a Broad Range of Visual Concepts and Composition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B. Decision Making in Terms of Experimentation and Risk Taking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C. Originality, Imagination, and Invention in Using the Elements and Principles of Design in</w:t>
      </w:r>
      <w:r>
        <w:rPr>
          <w:rFonts w:ascii="Verdana" w:hAnsi="Verdana"/>
          <w:color w:val="4A4A49"/>
          <w:sz w:val="20"/>
          <w:szCs w:val="20"/>
        </w:rPr>
        <w:br/>
        <w:t>Drawing Composition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D. Intention, Purpose, and Direction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E. Confident, Evocative Work that Engages the Viewer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F. Technical Competence and Skill with Drawing Materials and Media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G. Appropriation and the Student “Voice”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H. Understanding the Use of Digital or Photographic Sources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I. Image Quality (for Weak and Poor Breadth sections only)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J. Overall Accomplishment and Quality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In applying these descriptors, consider the content, style, mark making, and use of media in the</w:t>
      </w:r>
      <w:r>
        <w:rPr>
          <w:rFonts w:ascii="Verdana" w:hAnsi="Verdana"/>
          <w:color w:val="4A4A49"/>
          <w:sz w:val="20"/>
          <w:szCs w:val="20"/>
        </w:rPr>
        <w:br/>
        <w:t>work.</w:t>
      </w:r>
    </w:p>
    <w:p w:rsidR="003C3686" w:rsidRDefault="003C3686" w:rsidP="003C3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0"/>
          <w:szCs w:val="20"/>
        </w:rPr>
      </w:pPr>
      <w:r>
        <w:rPr>
          <w:rFonts w:ascii="Verdana" w:hAnsi="Verdana"/>
          <w:color w:val="4A4A49"/>
          <w:sz w:val="20"/>
          <w:szCs w:val="20"/>
        </w:rPr>
        <w:t>© 2013 The College Board.</w:t>
      </w:r>
      <w:r>
        <w:rPr>
          <w:rFonts w:ascii="Verdana" w:hAnsi="Verdana"/>
          <w:color w:val="4A4A49"/>
          <w:sz w:val="20"/>
          <w:szCs w:val="20"/>
        </w:rPr>
        <w:br/>
        <w:t>Visit the College Board on the Web:</w:t>
      </w:r>
      <w:r>
        <w:rPr>
          <w:rStyle w:val="apple-converted-space"/>
          <w:rFonts w:ascii="Verdana" w:hAnsi="Verdana"/>
          <w:color w:val="4A4A49"/>
          <w:sz w:val="20"/>
          <w:szCs w:val="20"/>
        </w:rPr>
        <w:t> </w:t>
      </w:r>
      <w:hyperlink r:id="rId4" w:history="1">
        <w:r>
          <w:rPr>
            <w:rStyle w:val="Hyperlink"/>
            <w:rFonts w:ascii="inherit" w:hAnsi="inherit"/>
            <w:color w:val="497CA7"/>
            <w:sz w:val="20"/>
            <w:szCs w:val="20"/>
            <w:bdr w:val="none" w:sz="0" w:space="0" w:color="auto" w:frame="1"/>
          </w:rPr>
          <w:t>http://www.collegeboard.org</w:t>
        </w:r>
      </w:hyperlink>
      <w:r>
        <w:rPr>
          <w:rFonts w:ascii="Verdana" w:hAnsi="Verdana"/>
          <w:color w:val="4A4A49"/>
          <w:sz w:val="20"/>
          <w:szCs w:val="20"/>
        </w:rPr>
        <w:t>.</w:t>
      </w:r>
    </w:p>
    <w:p w:rsidR="003C3686" w:rsidRDefault="003C3686"/>
    <w:sectPr w:rsidR="003C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6"/>
    <w:rsid w:val="00155F06"/>
    <w:rsid w:val="003C3686"/>
    <w:rsid w:val="004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4369"/>
  <w15:chartTrackingRefBased/>
  <w15:docId w15:val="{EEB8DF60-9815-45E5-B682-FE1831F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686"/>
    <w:rPr>
      <w:b/>
      <w:bCs/>
    </w:rPr>
  </w:style>
  <w:style w:type="character" w:customStyle="1" w:styleId="apple-converted-space">
    <w:name w:val="apple-converted-space"/>
    <w:basedOn w:val="DefaultParagraphFont"/>
    <w:rsid w:val="003C3686"/>
  </w:style>
  <w:style w:type="character" w:styleId="Hyperlink">
    <w:name w:val="Hyperlink"/>
    <w:basedOn w:val="DefaultParagraphFont"/>
    <w:uiPriority w:val="99"/>
    <w:semiHidden/>
    <w:unhideWhenUsed/>
    <w:rsid w:val="003C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Krauss Ron</dc:creator>
  <cp:keywords/>
  <dc:description/>
  <cp:lastModifiedBy>Krauss Ron</cp:lastModifiedBy>
  <cp:revision>1</cp:revision>
  <dcterms:created xsi:type="dcterms:W3CDTF">2017-02-06T17:45:00Z</dcterms:created>
  <dcterms:modified xsi:type="dcterms:W3CDTF">2017-02-06T17:46:00Z</dcterms:modified>
</cp:coreProperties>
</file>